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中国北京同仁堂（集团）有限责任公司</w:t>
      </w:r>
      <w:r>
        <w:rPr>
          <w:rFonts w:hint="eastAsia" w:ascii="方正小标宋简体" w:eastAsia="方正小标宋简体"/>
          <w:sz w:val="36"/>
          <w:szCs w:val="36"/>
          <w:lang w:eastAsia="zh-CN"/>
        </w:rPr>
        <w:t>所属事业单位</w:t>
      </w:r>
      <w:r>
        <w:rPr>
          <w:rFonts w:hint="eastAsia" w:ascii="方正小标宋简体" w:eastAsia="方正小标宋简体"/>
          <w:sz w:val="36"/>
          <w:szCs w:val="36"/>
        </w:rPr>
        <w:t xml:space="preserve"> </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lang w:eastAsia="zh-CN"/>
        </w:rPr>
        <w:t>部门</w:t>
      </w:r>
      <w:r>
        <w:rPr>
          <w:rFonts w:hint="eastAsia" w:ascii="方正小标宋简体" w:eastAsia="方正小标宋简体"/>
          <w:sz w:val="36"/>
          <w:szCs w:val="36"/>
        </w:rPr>
        <w:t>整体绩效评价报告</w:t>
      </w: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一、单位概况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北京医药职工大学（中国北京同仁堂（集团）有限责任公司党校）（以下简称学校），成立于1982年6月，为财政补助事业单位，主要职责是承担医药行业专科学历教育，培养高级技术应用人才，以及相关专业技能培训、技能等级认定；开展党员、干部教育培训等。根据《中共北京市委机构编制委员会关于中国北京同仁堂（集团）有限责任公司所属事业单位改革有关事项的批复》（京编委〔2021〕34号），中国共产党中国北京同仁堂（集团）有限责任公司委员会党校、北京医药集团职工大学、中国北京同仁堂（集团）有限责任公司职工中等专业学校、中国北京同仁堂（集团）有限责任公司教育培训中心整合，组建北京医药职工大学（中国北京同仁堂（集团）有限责任公司党校）。</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单位内设18个职能部门，分别为党政办公室、组织人事部、教学管理部、药学系、中药系、教学实验中心、招生办公室、电教信息中心等部门。</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（二）单位整体绩效目标设立情况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学校坚持以习近平新时代中国特色社会主义思想为指引，全面贯彻落实党的教育方针和集团第三次党代会精神，立足于服务集团和首都医药行业，走“质量立校、依法治校、人才强校、特色兴校”的发展道路，培养政治过硬的党员领导干部和应用型、技能型人才。按照“一条主线，两大支撑”的工作思路，即以“高质量党建引领高质量发展”为主线，以党员培训和教育教学两方面工作为支撑，深扎理论之根，筑牢信仰之基，突出特色，主动而为，攻坚克难，改革创新，全力推进学校教育事业高质量发展，更好地履行新时代成人高校（党校）的职责和使命。</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kern w:val="0"/>
          <w:sz w:val="32"/>
          <w:szCs w:val="32"/>
        </w:rPr>
        <w:t>2022年全年预算数4147.41 万元，其中，基本支出预算数3819.91万元，项目支出预算数327.50万元</w:t>
      </w:r>
      <w:r>
        <w:rPr>
          <w:rFonts w:hint="eastAsia" w:ascii="仿宋_GB2312" w:hAnsi="宋体" w:eastAsia="仿宋_GB2312" w:cs="宋体"/>
          <w:color w:val="000000"/>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2022年资金总体支出3189.21 万元，其中，基本支出3063.35万元，项目支出125.86万元</w:t>
      </w:r>
      <w:r>
        <w:rPr>
          <w:rFonts w:ascii="仿宋_GB2312" w:hAnsi="宋体" w:eastAsia="仿宋_GB2312" w:cs="宋体"/>
          <w:color w:val="000000"/>
          <w:kern w:val="0"/>
          <w:sz w:val="32"/>
          <w:szCs w:val="32"/>
        </w:rPr>
        <w:t>。</w:t>
      </w:r>
      <w:r>
        <w:rPr>
          <w:rFonts w:hint="eastAsia" w:ascii="仿宋_GB2312" w:hAnsi="宋体" w:eastAsia="仿宋_GB2312" w:cs="宋体"/>
          <w:kern w:val="0"/>
          <w:sz w:val="32"/>
          <w:szCs w:val="32"/>
        </w:rPr>
        <w:t>预算执行率为 76.90%。</w:t>
      </w:r>
    </w:p>
    <w:p>
      <w:pPr>
        <w:spacing w:line="600" w:lineRule="exact"/>
        <w:ind w:left="105" w:leftChars="50" w:firstLine="480" w:firstLineChars="150"/>
        <w:rPr>
          <w:rFonts w:ascii="楷体_GB2312" w:eastAsia="楷体_GB2312"/>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（一）加强党的领导，夯实党建基础</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是加强党的政治建设。坚持用习近平新时代中国特色社会主义思想武装头脑，第一时间组织全体教职工观看党的二十大开幕会在线直播盛况、撰写心得体会，制定了学校宣传贯彻党的二十大精神任务清单，教育引导全体党员坚决维护习近平总书记党中央的核心、全党的核心地位，坚决维护党中央权威和集中统一领导。组织教职工及时跟进学习习近平总书记重要讲话、重要论述和重要批示指示精神，推动习近平总书记重要指示批示和党中央决策部署，以及市委、市国资委和集团党委各项工作要求落实落地。</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二是不断压实管党治党主体责任。梳理制定了学校党委2022年全面从严治党任务安排、学校党委2022年党建工作重点任务清单，充分发挥党委把方向、管大局、保落实的领导作用。</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是深入落实意识形态工作责任制。2022年学校党委牢牢掌握对意识形态工作的领导权，定期开展职工思想动态分析，积极开展“党委书记、校长接待日”活动和增设“意见箱”；宣传同仁堂文化，做好文化上墙、组织教职工参加净匾仪式、参观等系内调研交流活动，推进同仁堂文化进校园，进一步增强了教职工的融入感。</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四是不断夯实基层党建质量。加强党支部标准化规范化建设，不断强化党务干部的工作能力，进一步加强党员教育管理工作，2022年学校共计开展13次党员干部培训。修订完善并下发《职工大学（党校）党委关于开展“四带四促”党建创新文化传承行动的实施方案》，领导班子全部纳入结对子名单，党委书记带领其他班子成员，其他班子成员带领各分管部门负责人。特别在疫情期间，利用电话、网络、视频的方式，及时了解群众遇到的困难问题，帮助他们解决思想包袱，进一步提升主动应对疫情的信心和决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五是加强各类人才队伍建设。结合学校“十四五”发展规划，研究制定学校《“十四五”干部人才队伍建设规划》，深入推进人才体制机制改革，加强正向激励作用，改善人才发展环境，推动干部人才队伍建设。加强各类业务培训。2022年度共组织开展各类培训24次，参训人员600人次，进一步提高教职工政治素养、理论水平和实践本领。</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六是加强党的作风建设。充分发挥纪检部门的监督作用，对学校日常采购、招标遴选及合同审批等重点经济领域深入开展监督，切实履行监管职责，充分发挥职能监督作用。紧盯重要节点，下发廉洁过节通知，开展节前专项监督检查。2022年，共开展重点岗位人员提醒谈话16人次，集体廉政谈话2次，19人次。</w:t>
      </w:r>
    </w:p>
    <w:p>
      <w:pPr>
        <w:spacing w:line="600" w:lineRule="exact"/>
        <w:ind w:firstLine="640" w:firstLineChars="200"/>
        <w:rPr>
          <w:rFonts w:ascii="楷体_GB2312" w:eastAsia="楷体_GB2312"/>
          <w:sz w:val="32"/>
          <w:szCs w:val="32"/>
        </w:rPr>
      </w:pPr>
      <w:r>
        <w:rPr>
          <w:rFonts w:hint="eastAsia" w:ascii="仿宋_GB2312" w:hAnsi="宋体" w:eastAsia="仿宋_GB2312" w:cs="宋体"/>
          <w:kern w:val="0"/>
          <w:sz w:val="32"/>
          <w:szCs w:val="32"/>
        </w:rPr>
        <w:t>七是统筹推进学校“十四五”规划、“对标提升”工作、国企改革三年行动实施方案、“双强双促”三年行动方案。学校深入贯彻落实集团第三次党代会精神，强化顶层设计，注重部门协同，统筹开展学校党的建设、人才培养、专业建设、队伍建设、后勤服务等各方面规划工作；坚持问题导向，找准学校在战略发展、风险管控及改革创新等方面的关键环节，不断破解制度瓶颈和发展难题，有序推进全年重点任务的落实。</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（二）聚焦主责主业，提升教学培训质量</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是围绕集团所需，开展培训工作。按照集团党委部署，全面落实集团年度培训工作要点，充分发挥集团党校教育培训主阵地作用，制定全年培训计划，在教学计划设计中，突出党的理论教育和党性教育主业主课地位，全年完成干部培训、专业培训、技能培训等共计32个班次，15210人次培训任务。成功申报并承办北京市高级研修班的培训项目，按照高水平、小规模、重特色的要求，邀请权威专家授课，采取主题报告方式进行研修，研修班突出京津冀联合，促进区域经济发展需要，于10月25至27日成功举办。学校积极配合集团落实培训师工作室相关工作，推动集团大品种战略走深走实，为集团培养一批大品种宣讲专业人员贡献学校力量。</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是开展教学科研，提升教师素质。组织申报并立项市委党校系统重点调研课题项目，在集团宣传部指导下，申请获批北京市委党校重点调研课题项目，《习近平新时代中国特社会主义思想在京华大地的生动实践研究 --首都国企同仁堂集团“四带四促”特色党建调查研究》已顺利结项。加强教学资源建设，积极开展科学研究工作，以科研促进教学水平不断提高，通过实验课件、微课程、微视频的制作，不断丰富教育教学资源，实现教学资源的数字化共享。中药系 “旋转式压片机的结构及工作原理”三维虚拟仿真课件，药学系“痛风的药物治疗”微课件，公共课教研部“原子的结构”微课件，均已制作完成并通过结题验收。积极参加市委组织部2022年全市党员干部现代远程教育课件资源报送工作，制作《喜迎二十大 永远跟党走--党史微课》“弘扬红船精神 赓续红色血脉”“井冈山精神：星火燎原 光耀未来”“读懂西柏坡 永葆初心 永担使命”三项，其中“红船精神”获得上级肯定。</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是积极开展思政课程及课程思政，规范教学管理。引导广大教师树立课程思政的理念，以思想引领和价值观塑造为目标，创新工作举措、教学方法，加强课程思政建设，强化教学研究和督导作用，研究制定教学质量评价体系，确保教学过程的有效实施和教学质量的稳步提高。按照市教委及主办高校的相关规定，加强学籍、考务、学位管理，规范毕业论文指导、毕业答辩、实践教学工作及毕业资料的管理等工作。2022年医药职工大学、沈阳药科大学继续教育学院北京分院共计完成7391人次考试、北京开放大学医药学院2223人次、北京大学医学继续教育学院北京医药学习中心5636人次。</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四是细化招生服务，开拓招生思路。制作电子版招生简章发布在学校微信公众号与集团官网，扩大招生宣传，编制成考招生章程发布在教育考试院官网，同时利用QQ、微信朋友圈等渠道进行招生宣传。借助北京医药行业协会、北京药师协会进行招生宣传，与多家连锁药店、医药公司加强联系，在企业内部进行推广，取得了良好的成效。</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五是加强教学监督，提供教学支持。开展线上课程的规范性检查，进行各类课程教学督导，通过全方位监督和教科研的开展，保障学校教学质量。编写医药信息汇编，2022年全年编辑整理稿件共77篇，约16.5万字。统筹信息化建设发展，强化在多媒体教室、网络化考试、录课、会议、培训等技术保障工作，为教学和培训的开展提供了有力支持。完善教学实验保障，开放实验室、图书馆，提高服务能力。确保基地安全，种植中药药材，丰富中草药品种，为教学实践提供保障。</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六是探索创新，积极开展学历层次提升申报工作。为进一步适应北京高等学历继续教育发展需求，更好地为北京市医药行业输送高质量专业技术人才，为集团高质量发展提供坚实的人才保障，学校积极开展行业需求调研，组织开展多场座谈会，编制调研问卷小程序，了解行业企业、集团兄弟单位对学历提升和教育培训的需求，编制人才培养方案，遴选学校优势专业向教育主管部门进行申报。</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（三）规范工作程序，强化行政保障力度</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一是建立健全学校制度。加强制度建设，全年学校重新修订完善了党建、人事、财务、教学、安全等相关制度共51项。</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二是建设平安校园。做好疫情防控常态化工作，学校密切关注疫情动态，及时传达部署落实各项防控政策。加强安全生产管理制度建设。加强宣传教育，学校开展节假日、重大活动值班值守、月安全检查、全员逃生演练、安保人员消防培训、消防演练、防恐演练、全员消防培训等，组织全校人员逃生演练1次，安保人员消防安全培训10次、消防技能演练4次，防恐演练1次，主动提高学校防恐防火能力。加强日常检查，全年开展安全检查35次，排除安全隐患共 70项，安全生产和消防安全工作成效显著。加强学校公务用车管理，完善制度，规范用车流程。</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三是加强财务管理，提供经费保障。积极推进预算管理一体化工作；按照集团公司财务管理和巡察审计等工作提出的各项要求，完善学校内部财务管理制度。</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四是梳理资产情况，推动事业单位改革。加强资产管理，完成2022年度北京市事业单位产权登记工作；积极推进事业单位改革工作资产清查和资产处置等工作。</w:t>
      </w:r>
    </w:p>
    <w:p>
      <w:pPr>
        <w:spacing w:line="600" w:lineRule="exact"/>
        <w:ind w:firstLine="640" w:firstLineChars="200"/>
        <w:rPr>
          <w:rFonts w:ascii="楷体_GB2312" w:eastAsia="楷体_GB2312"/>
          <w:sz w:val="32"/>
          <w:szCs w:val="32"/>
        </w:rPr>
      </w:pPr>
      <w:r>
        <w:rPr>
          <w:rFonts w:hint="eastAsia" w:ascii="仿宋_GB2312" w:hAnsi="宋体" w:eastAsia="仿宋_GB2312" w:cs="宋体"/>
          <w:kern w:val="0"/>
          <w:sz w:val="32"/>
          <w:szCs w:val="32"/>
        </w:rPr>
        <w:t>五是履行社会职责，积极开展消费扶贫和垃圾分类。按照集团部署及学校消费帮扶乡村振兴工作领导小组的工作要求，完成采购扶贫农产品24.063万元，累计消费帮扶带动建档立卡贫困人数876人次，采购扶贫农副产品占食堂总采购额的33.31%，超额完成集团公司和市财政相关要求。</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强化制度建设，构建规范长效机制。2022年学校坚持“政策先导”理念，不断细化完善制度，稳步推进内部控制制度建设，着力构建规范管理的长效机制。对《预算管理办法》、《财务资金支付管理办法》等多项制度进行了修订，抓牢抓实财务管理风险防控，着眼管理基础夯基固本，确保财务管理工作事前内控有抓手，事中执行有依据，审计落实有路径。严格执行学校财务报销审批制度，规范支出标准，控制支出范围。</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重视财务收支管理，严控一般性支出。强化使用好学校有限的资金，使学校的每一分资金都发挥最大的经济效益。从严控制“三公”经费、会议费、培训费、印刷费等公用经费支出。收支管理是一个单位财务管理工作的重中之重，加强收支管理，既是缓解资金供需矛盾，发展事业的需要，也是贯彻执行勤俭办一切事业方针的体现。</w:t>
      </w:r>
    </w:p>
    <w:p>
      <w:pPr>
        <w:spacing w:line="600" w:lineRule="exact"/>
        <w:ind w:left="105" w:leftChars="50"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夯实会计</w:t>
      </w:r>
      <w:r>
        <w:rPr>
          <w:rFonts w:ascii="仿宋_GB2312" w:hAnsi="宋体" w:eastAsia="仿宋_GB2312" w:cs="宋体"/>
          <w:color w:val="000000"/>
          <w:kern w:val="0"/>
          <w:sz w:val="32"/>
          <w:szCs w:val="32"/>
        </w:rPr>
        <w:t>基础</w:t>
      </w:r>
      <w:r>
        <w:rPr>
          <w:rFonts w:hint="eastAsia" w:ascii="仿宋_GB2312" w:hAnsi="宋体" w:eastAsia="仿宋_GB2312" w:cs="宋体"/>
          <w:color w:val="000000"/>
          <w:kern w:val="0"/>
          <w:sz w:val="32"/>
          <w:szCs w:val="32"/>
        </w:rPr>
        <w:t>工作，提升会计</w:t>
      </w:r>
      <w:r>
        <w:rPr>
          <w:rFonts w:ascii="仿宋_GB2312" w:hAnsi="宋体" w:eastAsia="仿宋_GB2312" w:cs="宋体"/>
          <w:color w:val="000000"/>
          <w:kern w:val="0"/>
          <w:sz w:val="32"/>
          <w:szCs w:val="32"/>
        </w:rPr>
        <w:t>信息</w:t>
      </w:r>
      <w:r>
        <w:rPr>
          <w:rFonts w:hint="eastAsia" w:ascii="仿宋_GB2312" w:hAnsi="宋体" w:eastAsia="仿宋_GB2312" w:cs="宋体"/>
          <w:color w:val="000000"/>
          <w:kern w:val="0"/>
          <w:sz w:val="32"/>
          <w:szCs w:val="32"/>
        </w:rPr>
        <w:t>质量。进一步加强会计凭证的审核与监督。在经济业务发生前，经济业务经办人向财务部门进行申请，按申请内容由财务部门对该项经济业务进行审核，包括不限于对于申请审批流程是否完整、对附件内容是否齐全和准确、是否存在无预算或超预算等情况进行审核，事后进行账务处理时再次对于凭证科目、金额、书写、发票查验、附件内容等事项进行审核，发现问题及时督促经济业务经办人补充或是重新办理。通过严谨的工作流程以及认真负责的工作态度，逐步加强会计基础工作，保证会计信息的真实、准确、完整。</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了规范和加强学校固定资产管理，维护国有资产的安全完整、合理配置和有效利用，保障学校各项工作和教育事业的发展，学校结合自身办学规模特点，制定了相应的固定资产管理制度。学校的固定资产管理活动，遵循资产管理与预算管理相结合，资产管理与财务管理相结合，实物管理与价值管理相结合的原则。学校固定资产管理，实行学校统一所有，主管部门监管，各职能部门占有、使用、责任到人、全员参与的管理体制。建立健全资产管理制度，合理配备并节约、有效使用资产，提高资产使用效率，保障资产的安全和完整。管理和使用应坚持统一政策、统一领导、分级管理、责任到人、物尽其用的原则。</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000000"/>
          <w:kern w:val="0"/>
          <w:sz w:val="32"/>
          <w:szCs w:val="32"/>
        </w:rPr>
        <w:t>加强对实物资产和无形资产的管理，明确相关部门和岗位的职责权限，强化对配置、使用和处置等关键环节的管控。学校计划财务部主要负责固定资产的综合管理，包括审核学校固定资产年度预算，安排购置资金等工作；学校资产管理部门主要负责固定资产的实物管理工作，包括学校固定资产购置、验收登记、库存保管、使用维护监管等日常管理工作，同时负责学校资产的账卡管理、资产清查、定期上报等管理工作。学校固定资产实物的动态管理是固定资产管理核心工作之一，也是学校资产管理部的重点工作职责，资产管理部根据学校内涵式发展的思路，继续探索和改善固定资产管理工作，积极参与学校制度建设工作，固定资产管理也进一步走向规范化。</w:t>
      </w:r>
    </w:p>
    <w:p>
      <w:pPr>
        <w:numPr>
          <w:ilvl w:val="0"/>
          <w:numId w:val="1"/>
        </w:num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绩效</w:t>
      </w:r>
      <w:r>
        <w:rPr>
          <w:rFonts w:ascii="楷体_GB2312" w:eastAsia="楷体_GB2312"/>
          <w:sz w:val="32"/>
          <w:szCs w:val="32"/>
        </w:rPr>
        <w:t>管理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学校2022年填报绩效目标的预算项目5个，占全部预算项目5个的100%。年初填报绩效目标的项目支出预算327.50万元，实际支出101.73万元，结转和结余225.77万元。</w:t>
      </w:r>
    </w:p>
    <w:p>
      <w:pPr>
        <w:spacing w:line="600" w:lineRule="exact"/>
        <w:ind w:firstLine="640" w:firstLineChars="200"/>
        <w:rPr>
          <w:rFonts w:ascii="楷体_GB2312" w:eastAsia="楷体_GB2312"/>
          <w:sz w:val="32"/>
          <w:szCs w:val="32"/>
        </w:rPr>
      </w:pPr>
      <w:r>
        <w:rPr>
          <w:rFonts w:hint="eastAsia" w:ascii="仿宋_GB2312" w:hAnsi="宋体" w:eastAsia="仿宋_GB2312" w:cs="宋体"/>
          <w:color w:val="000000"/>
          <w:kern w:val="0"/>
          <w:sz w:val="32"/>
          <w:szCs w:val="32"/>
        </w:rPr>
        <w:t>根据《北京市财政局关于开展2022年全面预算绩效管理工作的通知》要求，学校组织实施绩效跟踪工作。一是明确监控范围。按照目标导向、全面覆盖的原则，学校开展绩效运行监控管理工作。在前期准备工作中，学校加强领导，提高认识，认真履行预算绩效管理工作责任，做好绩效自评前期准备。二是落实主体责任。依据“谁支出，谁负责”原则，项目归口管理部门作为绩效运行监控的实施主体，具体落实绩效自评工作任务，统筹推进绩效自评的组织实施，提高工作质量。遵循客观、实事求是、公正公开的原则，对项目决策、项目准备、项目实施等环节进行自我评价。从项目主要绩效指标实现程度，评估项目年度绩效目标是否偏差、年底绩效目标预期能否达到，查找问题是否符合实际，采取措施是否合理，开展绩效运行监控，保证绩效目标如期实现。三是强化结果应用。通过监控信息反馈，对预期无绩效、低效达不到预期目标或预算执行进度偏慢的项目，督促项目归口管理部门制定有效措施，加快支出进度，并将监控结果作为学校调整预算和以后年度预算编制的参考依据。</w:t>
      </w:r>
    </w:p>
    <w:p>
      <w:pPr>
        <w:numPr>
          <w:ilvl w:val="0"/>
          <w:numId w:val="1"/>
        </w:num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结转结余率</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2022年学校支出预算数4147.41万元，年末结转结余共计958.19万元，结转结余率为23.10%。</w:t>
      </w:r>
    </w:p>
    <w:p>
      <w:pPr>
        <w:numPr>
          <w:ilvl w:val="0"/>
          <w:numId w:val="1"/>
        </w:num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部门</w:t>
      </w:r>
      <w:r>
        <w:rPr>
          <w:rFonts w:ascii="楷体_GB2312" w:eastAsia="楷体_GB2312"/>
          <w:sz w:val="32"/>
          <w:szCs w:val="32"/>
        </w:rPr>
        <w:t>预决算差异率</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1.收入预、决算差异率。</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2022年学校收入年初预算数3748.11万元，其中：财政拨款收入3147.12万元，事业收入300</w:t>
      </w:r>
      <w:r>
        <w:rPr>
          <w:rFonts w:ascii="仿宋_GB2312" w:hAnsi="宋体" w:eastAsia="仿宋_GB2312" w:cs="宋体"/>
          <w:color w:val="000000"/>
          <w:kern w:val="0"/>
          <w:sz w:val="32"/>
          <w:szCs w:val="32"/>
        </w:rPr>
        <w:t>.00</w:t>
      </w:r>
      <w:r>
        <w:rPr>
          <w:rFonts w:hint="eastAsia" w:ascii="仿宋_GB2312" w:hAnsi="宋体" w:eastAsia="仿宋_GB2312" w:cs="宋体"/>
          <w:color w:val="000000"/>
          <w:kern w:val="0"/>
          <w:sz w:val="32"/>
          <w:szCs w:val="32"/>
        </w:rPr>
        <w:t xml:space="preserve"> 万元，其他收入6.91万元，年初结转和结余294.08万元。</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2022年学校收入决算数4147.41万元，其中：财政拨款收入3297.82万元，事业收入300.00万元，其他收入5.84万元，年初结转和结余543.75万元。</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收入预决算差异率为10.65%。</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2.支出预、决算差异情况。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2022年学校支出年初预算数3748.11万元，其中：基本支出3420.61万元，项目支出327.50万元。</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2022年学校支出决算数3189.21万元，其中：基本支出3063.35万元，项目支出125.86万元。</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支出预决算差异率为-14.91%。</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firstLine="640" w:firstLineChars="200"/>
        <w:rPr>
          <w:rFonts w:ascii="仿宋_GB2312" w:hAnsi="宋体" w:eastAsia="仿宋_GB2312" w:cs="宋体"/>
          <w:color w:val="000000"/>
          <w:kern w:val="0"/>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1.当年预算执行情况（20分），自评分值15.38分。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2.整体绩效目标实现情况（60分），自评分值52分。其中：产出情况30分，自评分值26分；效果情况30分，自评分值26分。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3.预算管理情况（20分），自评分值13.2分。其中：财务管理4分，自评分值4分；资产管理4分，自评分值3.2分；绩效管理4分，自评分值2分；结转结余率4分，自评分值0分；部门预决算差异率4分，自评分值4分。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综合自评得分80.58分，基本达到预期绩效目标。</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1.2022年部分项目支出受新冠肺炎疫情影响实施进度缓慢，一定程度上影响了预算执行进度。</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绩效指标不完善。一是部分绩效指标含义不明确,未切合实际或无法全面考量。二是部分绩效指标的目标值设置有待进一步提高。三是产出指标中时效指标设置的较少,部分绩效指标未设置成本指标。四是绩效目标匹配性较低。绩效目标设置遵循指向明确、细化量化、合理可行、相应匹配的原则，部分绩效产出指标、效益指标与绩效总体目标没有明确对应关系，造成绩效跟踪监控时无法对应绩效产出指标一一核实，影响绩效跟踪反馈结果。</w:t>
      </w:r>
    </w:p>
    <w:p>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下一步学校将加强预算绩效跟踪管理工作，提高预算执行率。</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一是推进预算绩效跟踪体制建设，明确监控覆盖面。对绩效目标实现程度和预算执行进度实施“双监控”，切实加强绩效实现过程的动态管理。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是紧扣绩效工作关键，明确监控方式内容。主要关注绩效目标完成情况，包括数量、质量、时效、成本等项目产出指标的完成进度及趋势、预算资金拨付情况、项目归口管理部门实际支出情况以及预计结转结余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是强化“目标”意识，及时发现解决问题。对绩效跟踪过程中发现的问题要及时解决，根据项目阶段性完成的情况，确定指标是否正常合理，对偏离预期目标的，分析原因，从经费保障、制度保障、人员保障等方面进行综合判断，及时采取必要的针对性措施，保障项目支出绩效目标如期实现。</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是落实结果应用，将监控结果与预算安排挂钩。通过“事中”监控，进一步完善机制建设，使绩效信息体现横向可比性与纵向可追溯性特征，进而做到可比较、可监测、可评价、可报告，将绩效跟踪的结果与加强预算执行、实施预算调整、优化管理相结合，作为当年预算调整和以后年度预算安排的参考依据，发挥好绩效管理工作助推器作用，为学校提供更加科学的决策和管理依据，提升财政资金使用效益。</w:t>
      </w:r>
    </w:p>
    <w:p>
      <w:pPr>
        <w:pStyle w:val="2"/>
        <w:rPr>
          <w:rFonts w:hint="eastAsia" w:ascii="仿宋_GB2312" w:hAnsi="宋体" w:eastAsia="仿宋_GB2312" w:cs="宋体"/>
          <w:color w:val="000000"/>
          <w:kern w:val="0"/>
          <w:sz w:val="32"/>
          <w:szCs w:val="32"/>
        </w:rPr>
      </w:pPr>
    </w:p>
    <w:p>
      <w:pPr>
        <w:rPr>
          <w:rFonts w:hint="eastAsia" w:ascii="仿宋_GB2312" w:hAnsi="宋体" w:eastAsia="仿宋_GB2312" w:cs="宋体"/>
          <w:color w:val="000000"/>
          <w:kern w:val="0"/>
          <w:sz w:val="32"/>
          <w:szCs w:val="32"/>
        </w:rPr>
      </w:pPr>
    </w:p>
    <w:p>
      <w:pPr>
        <w:pStyle w:val="2"/>
        <w:rPr>
          <w:rFonts w:hint="eastAsia" w:ascii="仿宋_GB2312" w:hAnsi="宋体" w:eastAsia="仿宋_GB2312" w:cs="宋体"/>
          <w:color w:val="000000"/>
          <w:kern w:val="0"/>
          <w:sz w:val="32"/>
          <w:szCs w:val="32"/>
        </w:rPr>
      </w:pPr>
    </w:p>
    <w:p>
      <w:pPr>
        <w:rPr>
          <w:rFonts w:hint="eastAsia" w:ascii="仿宋_GB2312" w:hAnsi="宋体" w:eastAsia="仿宋_GB2312" w:cs="宋体"/>
          <w:color w:val="000000"/>
          <w:kern w:val="0"/>
          <w:sz w:val="32"/>
          <w:szCs w:val="32"/>
        </w:rPr>
      </w:pPr>
    </w:p>
    <w:p>
      <w:pPr>
        <w:pStyle w:val="2"/>
        <w:rPr>
          <w:rFonts w:hint="eastAsia" w:ascii="仿宋_GB2312" w:hAnsi="宋体" w:eastAsia="仿宋_GB2312" w:cs="宋体"/>
          <w:color w:val="000000"/>
          <w:kern w:val="0"/>
          <w:sz w:val="32"/>
          <w:szCs w:val="32"/>
        </w:rPr>
      </w:pPr>
    </w:p>
    <w:p>
      <w:pPr>
        <w:rPr>
          <w:rFonts w:hint="eastAsia" w:ascii="仿宋_GB2312" w:hAnsi="宋体" w:eastAsia="仿宋_GB2312" w:cs="宋体"/>
          <w:color w:val="000000"/>
          <w:kern w:val="0"/>
          <w:sz w:val="32"/>
          <w:szCs w:val="32"/>
        </w:rPr>
      </w:pPr>
    </w:p>
    <w:p>
      <w:pPr>
        <w:rPr>
          <w:rFonts w:hint="eastAsia"/>
        </w:rPr>
        <w:sectPr>
          <w:footerReference r:id="rId3" w:type="default"/>
          <w:pgSz w:w="11906" w:h="16838"/>
          <w:pgMar w:top="1440" w:right="1800" w:bottom="1440" w:left="1800" w:header="851" w:footer="992" w:gutter="0"/>
          <w:cols w:space="425" w:num="1"/>
          <w:docGrid w:type="lines" w:linePitch="312" w:charSpace="0"/>
        </w:sectPr>
      </w:pP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1088"/>
        <w:gridCol w:w="2084"/>
        <w:gridCol w:w="1426"/>
        <w:gridCol w:w="1196"/>
        <w:gridCol w:w="913"/>
        <w:gridCol w:w="899"/>
        <w:gridCol w:w="2081"/>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9"/>
            <w:tcBorders>
              <w:top w:val="nil"/>
              <w:left w:val="nil"/>
              <w:right w:val="nil"/>
            </w:tcBorders>
            <w:noWrap/>
            <w:vAlign w:val="bottom"/>
          </w:tcPr>
          <w:p>
            <w:pPr>
              <w:widowControl/>
              <w:jc w:val="center"/>
              <w:rPr>
                <w:rFonts w:ascii="方正小标宋简体" w:hAnsi="黑体" w:eastAsia="方正小标宋简体" w:cs="宋体"/>
                <w:color w:val="000000"/>
                <w:kern w:val="0"/>
                <w:sz w:val="44"/>
                <w:szCs w:val="44"/>
                <w:highlight w:val="yellow"/>
              </w:rPr>
            </w:pPr>
            <w:r>
              <w:rPr>
                <w:rFonts w:hint="eastAsia" w:ascii="方正小标宋简体" w:hAnsi="黑体" w:eastAsia="方正小标宋简体" w:cs="宋体"/>
                <w:color w:val="000000"/>
                <w:kern w:val="0"/>
                <w:sz w:val="44"/>
                <w:szCs w:val="44"/>
              </w:rPr>
              <w:t>2022年部门整体绩效评价指标体系评分表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000" w:type="pct"/>
            <w:gridSpan w:val="9"/>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8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73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1199"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trPr>
        <w:tc>
          <w:tcPr>
            <w:tcW w:w="383" w:type="pct"/>
            <w:vMerge w:val="restar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4147.406687</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3189.213792</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76.90%</w:t>
            </w:r>
          </w:p>
        </w:tc>
        <w:tc>
          <w:tcPr>
            <w:tcW w:w="322" w:type="pct"/>
            <w:vMerge w:val="restar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317" w:type="pct"/>
            <w:vMerge w:val="restar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15.38</w:t>
            </w:r>
          </w:p>
        </w:tc>
        <w:tc>
          <w:tcPr>
            <w:tcW w:w="734" w:type="pct"/>
            <w:vMerge w:val="restar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1199" w:type="pct"/>
            <w:vMerge w:val="restar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3819.906687</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3063.350904</w:t>
            </w:r>
          </w:p>
        </w:tc>
        <w:tc>
          <w:tcPr>
            <w:tcW w:w="420" w:type="pct"/>
            <w:vMerge w:val="restar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22"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17"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327.500000</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125.862888</w:t>
            </w:r>
          </w:p>
        </w:tc>
        <w:tc>
          <w:tcPr>
            <w:tcW w:w="420"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22"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17"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5"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20"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22"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17"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000" w:type="pct"/>
            <w:gridSpan w:val="9"/>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8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734" w:type="pct"/>
            <w:tcBorders>
              <w:tl2br w:val="nil"/>
              <w:tr2bl w:val="nil"/>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199" w:type="pct"/>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atLeast"/>
        </w:trPr>
        <w:tc>
          <w:tcPr>
            <w:tcW w:w="383" w:type="pct"/>
            <w:vMerge w:val="restar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384" w:type="pct"/>
            <w:vMerge w:val="restart"/>
            <w:tcBorders>
              <w:tl2br w:val="nil"/>
              <w:tr2bl w:val="nil"/>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735" w:type="pct"/>
            <w:tcBorders>
              <w:tl2br w:val="nil"/>
              <w:tr2bl w:val="nil"/>
            </w:tcBorders>
            <w:vAlign w:val="center"/>
          </w:tcPr>
          <w:p>
            <w:pPr>
              <w:jc w:val="left"/>
              <w:rPr>
                <w:rFonts w:ascii="宋体" w:hAnsi="宋体" w:cs="宋体"/>
                <w:color w:val="000000"/>
                <w:kern w:val="0"/>
                <w:sz w:val="20"/>
                <w:szCs w:val="20"/>
              </w:rPr>
            </w:pPr>
            <w:r>
              <w:rPr>
                <w:rFonts w:hint="eastAsia" w:ascii="宋体" w:hAnsi="宋体" w:cs="宋体"/>
                <w:color w:val="000000"/>
                <w:kern w:val="0"/>
                <w:sz w:val="20"/>
                <w:szCs w:val="20"/>
              </w:rPr>
              <w:t>产出数量：主体班次培训</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7个</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5个</w:t>
            </w:r>
          </w:p>
        </w:tc>
        <w:tc>
          <w:tcPr>
            <w:tcW w:w="322" w:type="pct"/>
            <w:tcBorders>
              <w:tl2br w:val="nil"/>
              <w:tr2bl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17" w:type="pct"/>
            <w:tcBorders>
              <w:tl2br w:val="nil"/>
              <w:tr2bl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34" w:type="pct"/>
            <w:vMerge w:val="restart"/>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1199" w:type="pct"/>
            <w:vMerge w:val="restar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383" w:type="pct"/>
            <w:vMerge w:val="continue"/>
            <w:tcBorders>
              <w:tl2br w:val="nil"/>
              <w:tr2bl w:val="nil"/>
            </w:tcBorders>
            <w:vAlign w:val="center"/>
          </w:tcPr>
          <w:p>
            <w:pPr>
              <w:jc w:val="center"/>
            </w:pPr>
          </w:p>
        </w:tc>
        <w:tc>
          <w:tcPr>
            <w:tcW w:w="384" w:type="pct"/>
            <w:vMerge w:val="continue"/>
            <w:tcBorders>
              <w:tl2br w:val="nil"/>
              <w:tr2bl w:val="nil"/>
            </w:tcBorders>
            <w:vAlign w:val="center"/>
          </w:tcPr>
          <w:p>
            <w:pPr>
              <w:jc w:val="center"/>
            </w:pPr>
          </w:p>
        </w:tc>
        <w:tc>
          <w:tcPr>
            <w:tcW w:w="735" w:type="pct"/>
            <w:tcBorders>
              <w:tl2br w:val="nil"/>
              <w:tr2bl w:val="nil"/>
            </w:tcBorders>
            <w:vAlign w:val="center"/>
          </w:tcPr>
          <w:p>
            <w:pPr>
              <w:jc w:val="left"/>
              <w:rPr>
                <w:rFonts w:ascii="宋体" w:hAnsi="宋体" w:cs="宋体"/>
                <w:color w:val="000000"/>
                <w:kern w:val="0"/>
                <w:sz w:val="20"/>
                <w:szCs w:val="20"/>
              </w:rPr>
            </w:pPr>
            <w:r>
              <w:rPr>
                <w:rFonts w:hint="eastAsia" w:ascii="宋体" w:hAnsi="宋体" w:cs="宋体"/>
                <w:color w:val="000000"/>
                <w:kern w:val="0"/>
                <w:sz w:val="20"/>
                <w:szCs w:val="20"/>
              </w:rPr>
              <w:t>产出数量：两项教学资源课件</w:t>
            </w:r>
          </w:p>
        </w:tc>
        <w:tc>
          <w:tcPr>
            <w:tcW w:w="503" w:type="pct"/>
            <w:tcBorders>
              <w:tl2br w:val="nil"/>
              <w:tr2bl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2项</w:t>
            </w:r>
          </w:p>
        </w:tc>
        <w:tc>
          <w:tcPr>
            <w:tcW w:w="420" w:type="pct"/>
            <w:tcBorders>
              <w:tl2br w:val="nil"/>
              <w:tr2bl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2项</w:t>
            </w:r>
          </w:p>
        </w:tc>
        <w:tc>
          <w:tcPr>
            <w:tcW w:w="322" w:type="pct"/>
            <w:tcBorders>
              <w:tl2br w:val="nil"/>
              <w:tr2bl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34" w:type="pct"/>
            <w:vMerge w:val="continue"/>
            <w:tcBorders>
              <w:tl2br w:val="nil"/>
              <w:tr2bl w:val="nil"/>
            </w:tcBorders>
            <w:vAlign w:val="center"/>
          </w:tcPr>
          <w:p>
            <w:pPr>
              <w:jc w:val="center"/>
              <w:rPr>
                <w:rFonts w:ascii="宋体" w:hAnsi="宋体" w:cs="宋体"/>
                <w:color w:val="000000"/>
                <w:kern w:val="0"/>
                <w:sz w:val="20"/>
                <w:szCs w:val="20"/>
              </w:rPr>
            </w:pPr>
          </w:p>
        </w:tc>
        <w:tc>
          <w:tcPr>
            <w:tcW w:w="1199" w:type="pct"/>
            <w:vMerge w:val="continue"/>
            <w:tcBorders>
              <w:tl2br w:val="nil"/>
              <w:tr2bl w:val="nil"/>
            </w:tcBorders>
            <w:vAlign w:val="center"/>
          </w:tcPr>
          <w:p>
            <w:pPr>
              <w:jc w:val="center"/>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7"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产出质量：根据社会需求、企业需求、学员需求，致力于提高党员领导干部的理论素养和党性修养。（主体班次培训）</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产出质量：以需求为导向，实现专业拓展，完善教学计划和课程体系。（校企合作）</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9"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产出质量：完善实验室建设，强化对实验教学的指导和管理突出对学生综合素质和实践能力的培养，不断提高人才培养质量。（实训基地建设）</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良</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0"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产出质量：完善实训基地建设，做好种植规划设计，完善园区的中药品种种植。（实训基地建设）</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良</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5"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产出质量：研究制定教学质量评价体系，确保教学过程的有效实施和教学质量的稳步提高。（教育教学）</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8"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产出质量：实施师资队伍建设工程，组建系内特色教育培训自有讲师队伍。（支持教师队伍建设）</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restar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经济效益：通过完成主体班次培训，能够提高集团党员干部队伍的质量，既可以保持党员队伍的先进性和纯洁性，又可以助力集团实现高质量发展。（主体班次培训）</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良</w:t>
            </w:r>
          </w:p>
        </w:tc>
        <w:tc>
          <w:tcPr>
            <w:tcW w:w="322"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34" w:type="pct"/>
            <w:vMerge w:val="restart"/>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1199" w:type="pct"/>
            <w:vMerge w:val="restart"/>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社会效益：党员干部教育培训是贯彻落实中共中央关于党员干部教育管理工作的具体举措，是为国有企业尤其是医药行业企业加强党的建设提供规范化平台，也是明确学校定位、体现学校社会担当的务实行动。（主体班次培训）</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良</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社会效益：为周边居民普及中药知识和健康生活，为当地中小学普及中药教育，做中药材主题活动基地。（实训基地建设）</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良</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4"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社会效益：坚持医药特色办学之路，以学生为主体，积极推进混合式教学模式的研究和实践，进一步推进教学与信息技术的融合。（教育教学）</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2"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社会效益：履行社会责任，增强社会服务能力，开展中医药传承和中医药文化传播。（支持教师队伍建设）</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3"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可持续影响：实施党员干部教育培训是学校内涵式建设、高质量发展的一个重要内容，学校坚持高标准培训目标，突出医药特色，助力学校各项事业可持续发展。（主体班次培训）</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良</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2"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可持续影响：逐步形成具有同仁堂特色的综合培训体系，助力集团人才培养及专业队伍建设。（校企合作）</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1"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可持续影响：加强人防、物防、技防设施建设，加强安全队伍专业化管理，不断提升安全保障工作的专业性，确保学校各项安全管理工作到位。（平安校园）</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9"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可持续影响：落实“办好继续教育”国家战略，以医药人才培养模式改革为抓手，不断提升学校办学治校的能力和水平。（教育教学）</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优</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6"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服务对象满意度：学生在校学习和实验实训满意度（教育教学）</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服务对象满意度：学员在校培训学习满意度（主体班次培训）</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34" w:type="pct"/>
            <w:vMerge w:val="continue"/>
            <w:tcBorders>
              <w:tl2br w:val="nil"/>
              <w:tr2bl w:val="nil"/>
            </w:tcBorders>
            <w:vAlign w:val="center"/>
          </w:tcPr>
          <w:p>
            <w:pPr>
              <w:widowControl/>
              <w:jc w:val="left"/>
              <w:rPr>
                <w:rFonts w:ascii="宋体" w:hAnsi="宋体" w:cs="宋体"/>
                <w:color w:val="000000"/>
                <w:kern w:val="0"/>
                <w:sz w:val="18"/>
                <w:szCs w:val="18"/>
              </w:rPr>
            </w:pPr>
          </w:p>
        </w:tc>
        <w:tc>
          <w:tcPr>
            <w:tcW w:w="1199" w:type="pct"/>
            <w:vMerge w:val="continue"/>
            <w:tcBorders>
              <w:tl2br w:val="nil"/>
              <w:tr2bl w:val="nil"/>
            </w:tcBorders>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5000" w:type="pct"/>
            <w:gridSpan w:val="9"/>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8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322"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734" w:type="pct"/>
            <w:tcBorders>
              <w:tl2br w:val="nil"/>
              <w:tr2bl w:val="nil"/>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199" w:type="pct"/>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5" w:hRule="atLeast"/>
        </w:trPr>
        <w:tc>
          <w:tcPr>
            <w:tcW w:w="383" w:type="pct"/>
            <w:vMerge w:val="restar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384" w:type="pct"/>
            <w:vMerge w:val="restar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503" w:type="pct"/>
            <w:tcBorders>
              <w:tl2br w:val="nil"/>
              <w:tr2bl w:val="nil"/>
            </w:tcBorders>
            <w:vAlign w:val="center"/>
          </w:tcPr>
          <w:p>
            <w:pPr>
              <w:widowControl/>
              <w:jc w:val="center"/>
              <w:rPr>
                <w:rFonts w:ascii="宋体" w:hAnsi="宋体" w:cs="宋体"/>
                <w:color w:val="000000"/>
                <w:kern w:val="0"/>
                <w:sz w:val="20"/>
                <w:szCs w:val="20"/>
              </w:rPr>
            </w:pP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健全</w:t>
            </w:r>
          </w:p>
          <w:p>
            <w:pPr>
              <w:widowControl/>
              <w:jc w:val="center"/>
              <w:rPr>
                <w:rFonts w:ascii="宋体" w:hAnsi="宋体" w:cs="宋体"/>
                <w:color w:val="000000"/>
                <w:kern w:val="0"/>
                <w:sz w:val="20"/>
                <w:szCs w:val="20"/>
              </w:rPr>
            </w:pP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健全</w:t>
            </w:r>
          </w:p>
        </w:tc>
        <w:tc>
          <w:tcPr>
            <w:tcW w:w="322"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34"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1199"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0"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合规、安全</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合规、安全</w:t>
            </w:r>
          </w:p>
        </w:tc>
        <w:tc>
          <w:tcPr>
            <w:tcW w:w="322"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34"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199"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5"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完善</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完善</w:t>
            </w:r>
          </w:p>
        </w:tc>
        <w:tc>
          <w:tcPr>
            <w:tcW w:w="322"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17" w:type="pct"/>
            <w:tcBorders>
              <w:tl2br w:val="nil"/>
              <w:tr2bl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734"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1199"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8"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503"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较规范</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较规范</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734"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1199"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3"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735"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503" w:type="pct"/>
            <w:tcBorders>
              <w:tl2br w:val="nil"/>
              <w:tr2bl w:val="nil"/>
            </w:tcBorders>
            <w:vAlign w:val="center"/>
          </w:tcPr>
          <w:p>
            <w:pPr>
              <w:widowControl/>
              <w:jc w:val="center"/>
              <w:rPr>
                <w:rFonts w:ascii="宋体" w:hAnsi="宋体" w:cs="宋体"/>
                <w:color w:val="000000"/>
                <w:kern w:val="0"/>
                <w:sz w:val="20"/>
                <w:szCs w:val="20"/>
              </w:rPr>
            </w:pP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较好</w:t>
            </w:r>
          </w:p>
          <w:p>
            <w:pPr>
              <w:widowControl/>
              <w:jc w:val="center"/>
              <w:rPr>
                <w:rFonts w:ascii="宋体" w:hAnsi="宋体" w:cs="宋体"/>
                <w:color w:val="000000"/>
                <w:kern w:val="0"/>
                <w:sz w:val="20"/>
                <w:szCs w:val="20"/>
              </w:rPr>
            </w:pP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较好</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734"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1199"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1238" w:type="pct"/>
            <w:gridSpan w:val="2"/>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2021年</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734"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199" w:type="pct"/>
            <w:tcBorders>
              <w:tl2br w:val="nil"/>
              <w:tr2bl w:val="nil"/>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4"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1238" w:type="pct"/>
            <w:gridSpan w:val="2"/>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8.01%</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23.10%</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734"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1199"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atLeast"/>
        </w:trPr>
        <w:tc>
          <w:tcPr>
            <w:tcW w:w="383" w:type="pct"/>
            <w:vMerge w:val="continue"/>
            <w:tcBorders>
              <w:tl2br w:val="nil"/>
              <w:tr2bl w:val="nil"/>
            </w:tcBorders>
            <w:vAlign w:val="center"/>
          </w:tcPr>
          <w:p>
            <w:pPr>
              <w:widowControl/>
              <w:jc w:val="left"/>
              <w:rPr>
                <w:rFonts w:ascii="宋体" w:hAnsi="宋体" w:cs="宋体"/>
                <w:color w:val="000000"/>
                <w:kern w:val="0"/>
                <w:sz w:val="20"/>
                <w:szCs w:val="20"/>
              </w:rPr>
            </w:pPr>
          </w:p>
        </w:tc>
        <w:tc>
          <w:tcPr>
            <w:tcW w:w="384" w:type="pct"/>
            <w:tcBorders>
              <w:tl2br w:val="nil"/>
              <w:tr2bl w:val="nil"/>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1238" w:type="pct"/>
            <w:gridSpan w:val="2"/>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-14.91%</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34"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1199" w:type="pct"/>
            <w:tcBorders>
              <w:tl2br w:val="nil"/>
              <w:tr2bl w:val="nil"/>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427" w:type="pct"/>
            <w:gridSpan w:val="5"/>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322"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17" w:type="pct"/>
            <w:tcBorders>
              <w:tl2br w:val="nil"/>
              <w:tr2bl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80.58</w:t>
            </w:r>
          </w:p>
        </w:tc>
        <w:tc>
          <w:tcPr>
            <w:tcW w:w="1933" w:type="pct"/>
            <w:gridSpan w:val="2"/>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r>
              <w:rPr>
                <w:rFonts w:hint="eastAsia" w:ascii="宋体" w:hAnsi="宋体" w:cs="宋体"/>
                <w:color w:val="000000"/>
                <w:kern w:val="0"/>
                <w:sz w:val="20"/>
                <w:szCs w:val="20"/>
              </w:rPr>
              <w:t>——</w:t>
            </w:r>
          </w:p>
        </w:tc>
      </w:tr>
    </w:tbl>
    <w:p>
      <w:pPr>
        <w:spacing w:line="20" w:lineRule="exact"/>
        <w:rPr>
          <w:rFonts w:ascii="方正小标宋简体" w:eastAsia="方正小标宋简体"/>
          <w:sz w:val="36"/>
          <w:szCs w:val="36"/>
        </w:rPr>
      </w:pPr>
    </w:p>
    <w:p>
      <w:pPr>
        <w:pStyle w:val="3"/>
        <w:ind w:firstLineChars="200"/>
        <w:rPr>
          <w:rFonts w:ascii="方正小标宋简体" w:eastAsia="方正小标宋简体"/>
          <w:sz w:val="36"/>
          <w:szCs w:val="36"/>
        </w:rPr>
      </w:pPr>
      <w:bookmarkStart w:id="0" w:name="_GoBack"/>
      <w:bookmarkEnd w:id="0"/>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0BEB77"/>
    <w:multiLevelType w:val="singleLevel"/>
    <w:tmpl w:val="C80BEB7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kM2NkOWIxNGEyOTdkZDM2ODY5OWE2NDc2YTk4NWQifQ=="/>
  </w:docVars>
  <w:rsids>
    <w:rsidRoot w:val="F77F09F4"/>
    <w:rsid w:val="0033014E"/>
    <w:rsid w:val="003D50EA"/>
    <w:rsid w:val="009250CE"/>
    <w:rsid w:val="009C3203"/>
    <w:rsid w:val="00D84F41"/>
    <w:rsid w:val="00F474C0"/>
    <w:rsid w:val="01806D0F"/>
    <w:rsid w:val="03393468"/>
    <w:rsid w:val="0549476E"/>
    <w:rsid w:val="06B47980"/>
    <w:rsid w:val="0A5C39BE"/>
    <w:rsid w:val="0A8D08C3"/>
    <w:rsid w:val="0B4037EC"/>
    <w:rsid w:val="0E6E7BA3"/>
    <w:rsid w:val="12D31F47"/>
    <w:rsid w:val="140A3A7A"/>
    <w:rsid w:val="175F53D8"/>
    <w:rsid w:val="187B3A2C"/>
    <w:rsid w:val="1883682B"/>
    <w:rsid w:val="19FC4EDB"/>
    <w:rsid w:val="1D3F1AA6"/>
    <w:rsid w:val="1EB13D07"/>
    <w:rsid w:val="20552210"/>
    <w:rsid w:val="27084A19"/>
    <w:rsid w:val="275814FC"/>
    <w:rsid w:val="282E04AF"/>
    <w:rsid w:val="29F130EF"/>
    <w:rsid w:val="2BD741EB"/>
    <w:rsid w:val="2DDE5172"/>
    <w:rsid w:val="2F737BA6"/>
    <w:rsid w:val="306760D0"/>
    <w:rsid w:val="3280648A"/>
    <w:rsid w:val="37173543"/>
    <w:rsid w:val="3BE0777E"/>
    <w:rsid w:val="3E943809"/>
    <w:rsid w:val="3F5D4D99"/>
    <w:rsid w:val="3FD17940"/>
    <w:rsid w:val="3FDBA076"/>
    <w:rsid w:val="3FDFB3F0"/>
    <w:rsid w:val="3FDFC9A6"/>
    <w:rsid w:val="3FF76880"/>
    <w:rsid w:val="431C79A0"/>
    <w:rsid w:val="453D40FD"/>
    <w:rsid w:val="45C552EF"/>
    <w:rsid w:val="45E83F3B"/>
    <w:rsid w:val="47543E47"/>
    <w:rsid w:val="49C660D4"/>
    <w:rsid w:val="49E602D4"/>
    <w:rsid w:val="4D0B6B70"/>
    <w:rsid w:val="564C5FB4"/>
    <w:rsid w:val="575724C8"/>
    <w:rsid w:val="57741CD9"/>
    <w:rsid w:val="57E11E3C"/>
    <w:rsid w:val="5BFD4AC2"/>
    <w:rsid w:val="64E95E1E"/>
    <w:rsid w:val="66B01285"/>
    <w:rsid w:val="66E660BB"/>
    <w:rsid w:val="67759716"/>
    <w:rsid w:val="68275C64"/>
    <w:rsid w:val="68EF2D67"/>
    <w:rsid w:val="6CC87B57"/>
    <w:rsid w:val="6E3A6BE6"/>
    <w:rsid w:val="6F7ED27B"/>
    <w:rsid w:val="72CA780F"/>
    <w:rsid w:val="744D3038"/>
    <w:rsid w:val="749C692F"/>
    <w:rsid w:val="74B15F95"/>
    <w:rsid w:val="75B17A7C"/>
    <w:rsid w:val="7A3945A5"/>
    <w:rsid w:val="7AB7FF50"/>
    <w:rsid w:val="7AEAF641"/>
    <w:rsid w:val="7BAD2729"/>
    <w:rsid w:val="7BFEB0DB"/>
    <w:rsid w:val="7C8C6444"/>
    <w:rsid w:val="7DD8701C"/>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1"/>
    <w:pPr>
      <w:spacing w:before="43"/>
      <w:ind w:left="120"/>
    </w:pPr>
    <w:rPr>
      <w:rFonts w:hint="eastAsia" w:ascii="仿宋" w:eastAsia="仿宋" w:cs="仿宋"/>
      <w:sz w:val="30"/>
      <w:szCs w:val="30"/>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6881</Words>
  <Characters>7198</Characters>
  <Lines>51</Lines>
  <Paragraphs>14</Paragraphs>
  <TotalTime>3</TotalTime>
  <ScaleCrop>false</ScaleCrop>
  <LinksUpToDate>false</LinksUpToDate>
  <CharactersWithSpaces>7211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2022-03-14T19:16:00Z</dcterms:created>
  <dc:creator>user</dc:creator>
  <cp:lastModifiedBy>USER</cp:lastModifiedBy>
  <cp:lastPrinted>2023-03-06T01:31:00Z</cp:lastPrinted>
  <dcterms:modified xsi:type="dcterms:W3CDTF">2023-08-22T04:17:16Z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BFDDCA7C316B4C1793F99391136B0A30_12</vt:lpwstr>
  </property>
</Properties>
</file>